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600" w:lineRule="exact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菏泽市国资委所属事业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公开引进高层次急需紧缺人才拟聘用人员名单公示</w:t>
      </w:r>
    </w:p>
    <w:p>
      <w:pPr>
        <w:widowControl w:val="0"/>
        <w:adjustRightInd/>
        <w:snapToGrid/>
        <w:spacing w:after="0" w:line="600" w:lineRule="exact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按照《20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年菏泽市市直事业单位公开引进高层次急需紧缺人才公告》相关规定和引进高层次人才招聘计划，经过报名、资格审查、面试、体检、考察等程序，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</w:rPr>
        <w:t>确定将符合聘用条件的人员（见下表）聘用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为菏泽市国资委所属事业单位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</w:rPr>
        <w:t>菏泽市企业国有资产管理服务中心工作人员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，现予以公示，公示期为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日-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日。公示期间如有异议，反映人以真实姓名反映问题，并留下联系方式，以便了解和反馈相关情况，否则不予受理。</w:t>
      </w:r>
    </w:p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联系电话：0530-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6161007</w:t>
      </w:r>
    </w:p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联系邮箱：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hzsgzw@hz.shandong.cn</w:t>
      </w:r>
    </w:p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tbl>
      <w:tblPr>
        <w:tblStyle w:val="2"/>
        <w:tblW w:w="5242" w:type="pct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893"/>
        <w:gridCol w:w="1340"/>
        <w:gridCol w:w="881"/>
        <w:gridCol w:w="2098"/>
        <w:gridCol w:w="2383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3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9"/>
                <w:szCs w:val="29"/>
              </w:rPr>
              <w:t>姓名</w:t>
            </w:r>
          </w:p>
        </w:tc>
        <w:tc>
          <w:tcPr>
            <w:tcW w:w="43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9"/>
                <w:szCs w:val="29"/>
              </w:rPr>
              <w:t>性别</w:t>
            </w:r>
          </w:p>
        </w:tc>
        <w:tc>
          <w:tcPr>
            <w:tcW w:w="654" w:type="pct"/>
            <w:shd w:val="clear" w:color="auto" w:fill="FFFFFF"/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黑体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黑体" w:cs="Times New Roman"/>
                <w:sz w:val="29"/>
                <w:szCs w:val="29"/>
              </w:rPr>
              <w:t>出生年月</w:t>
            </w:r>
          </w:p>
        </w:tc>
        <w:tc>
          <w:tcPr>
            <w:tcW w:w="430" w:type="pct"/>
            <w:shd w:val="clear" w:color="auto" w:fill="FFFFFF"/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黑体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黑体" w:cs="Times New Roman"/>
                <w:sz w:val="29"/>
                <w:szCs w:val="29"/>
              </w:rPr>
              <w:t>政治面貌</w:t>
            </w:r>
          </w:p>
        </w:tc>
        <w:tc>
          <w:tcPr>
            <w:tcW w:w="102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黑体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黑体" w:cs="Times New Roman"/>
                <w:sz w:val="29"/>
                <w:szCs w:val="29"/>
              </w:rPr>
              <w:t>本科学历院校</w:t>
            </w:r>
          </w:p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9"/>
                <w:szCs w:val="29"/>
              </w:rPr>
              <w:t>及专业</w:t>
            </w:r>
          </w:p>
        </w:tc>
        <w:tc>
          <w:tcPr>
            <w:tcW w:w="11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黑体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黑体" w:cs="Times New Roman"/>
                <w:sz w:val="29"/>
                <w:szCs w:val="29"/>
              </w:rPr>
              <w:t>研究生学历院校</w:t>
            </w:r>
          </w:p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9"/>
                <w:szCs w:val="29"/>
              </w:rPr>
              <w:t>及专业</w:t>
            </w:r>
          </w:p>
        </w:tc>
        <w:tc>
          <w:tcPr>
            <w:tcW w:w="654" w:type="pct"/>
            <w:shd w:val="clear" w:color="auto" w:fill="FFFFFF"/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黑体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黑体" w:cs="Times New Roman"/>
                <w:sz w:val="29"/>
                <w:szCs w:val="29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仿宋_GB2312" w:cs="Times New Roman"/>
                <w:sz w:val="29"/>
                <w:szCs w:val="2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  <w:lang w:val="en-US" w:eastAsia="zh-CN"/>
              </w:rPr>
              <w:t>应士澳</w:t>
            </w:r>
          </w:p>
        </w:tc>
        <w:tc>
          <w:tcPr>
            <w:tcW w:w="43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男</w:t>
            </w:r>
          </w:p>
        </w:tc>
        <w:tc>
          <w:tcPr>
            <w:tcW w:w="654" w:type="pct"/>
            <w:shd w:val="clear" w:color="auto" w:fill="FFFFFF"/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9"/>
                <w:szCs w:val="29"/>
                <w:lang w:val="en-US" w:eastAsia="zh-CN"/>
              </w:rPr>
              <w:t>99</w:t>
            </w: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9"/>
                <w:szCs w:val="29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 xml:space="preserve"> </w:t>
            </w:r>
          </w:p>
        </w:tc>
        <w:tc>
          <w:tcPr>
            <w:tcW w:w="430" w:type="pct"/>
            <w:shd w:val="clear" w:color="auto" w:fill="FFFFFF"/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仿宋_GB2312" w:cs="Times New Roman"/>
                <w:sz w:val="29"/>
                <w:szCs w:val="2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  <w:lang w:val="en-US" w:eastAsia="zh-CN"/>
              </w:rPr>
              <w:t>共青团员</w:t>
            </w:r>
          </w:p>
        </w:tc>
        <w:tc>
          <w:tcPr>
            <w:tcW w:w="102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山东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</w:rPr>
              <w:t>大学</w:t>
            </w:r>
          </w:p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国际经济与贸易专业</w:t>
            </w:r>
          </w:p>
        </w:tc>
        <w:tc>
          <w:tcPr>
            <w:tcW w:w="11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</w:p>
        </w:tc>
      </w:tr>
    </w:tbl>
    <w:p>
      <w:pPr>
        <w:widowControl w:val="0"/>
        <w:adjustRightInd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菏泽市人民政府国有资产监督管理委员会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spacing w:line="220" w:lineRule="atLeast"/>
        <w:rPr>
          <w:rFonts w:hint="default" w:ascii="Times New Roman" w:hAnsi="Times New Roman" w:cs="Times New Roman"/>
        </w:rPr>
      </w:pPr>
    </w:p>
    <w:sectPr>
      <w:pgSz w:w="11906" w:h="16838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Dc3YjAzOTQxYWNhMzgzNTQ4YzcwZDg1MzZhYjg4MDAifQ=="/>
  </w:docVars>
  <w:rsids>
    <w:rsidRoot w:val="00D31D50"/>
    <w:rsid w:val="00323B43"/>
    <w:rsid w:val="003D37D8"/>
    <w:rsid w:val="00426133"/>
    <w:rsid w:val="004358AB"/>
    <w:rsid w:val="0078049B"/>
    <w:rsid w:val="008B7726"/>
    <w:rsid w:val="00D31D50"/>
    <w:rsid w:val="00F0574E"/>
    <w:rsid w:val="02414347"/>
    <w:rsid w:val="0922463B"/>
    <w:rsid w:val="0AEA4DD1"/>
    <w:rsid w:val="0E1E3623"/>
    <w:rsid w:val="10D12BCF"/>
    <w:rsid w:val="1158509E"/>
    <w:rsid w:val="1235718D"/>
    <w:rsid w:val="128123D2"/>
    <w:rsid w:val="12B44556"/>
    <w:rsid w:val="13A75E69"/>
    <w:rsid w:val="13A91BE1"/>
    <w:rsid w:val="13E72709"/>
    <w:rsid w:val="14DC7D94"/>
    <w:rsid w:val="14F50E56"/>
    <w:rsid w:val="15FB06EE"/>
    <w:rsid w:val="1B860A5A"/>
    <w:rsid w:val="1C5B3C94"/>
    <w:rsid w:val="1F890B18"/>
    <w:rsid w:val="1FDA1374"/>
    <w:rsid w:val="22034BB2"/>
    <w:rsid w:val="24F9229C"/>
    <w:rsid w:val="257D4C7B"/>
    <w:rsid w:val="266B0F78"/>
    <w:rsid w:val="268A3AF4"/>
    <w:rsid w:val="27547C5E"/>
    <w:rsid w:val="27906EE8"/>
    <w:rsid w:val="2F6A6270"/>
    <w:rsid w:val="2FA86D99"/>
    <w:rsid w:val="30696528"/>
    <w:rsid w:val="3152520E"/>
    <w:rsid w:val="3273368E"/>
    <w:rsid w:val="32805DAB"/>
    <w:rsid w:val="34164C19"/>
    <w:rsid w:val="344C23E9"/>
    <w:rsid w:val="36323860"/>
    <w:rsid w:val="37307DA0"/>
    <w:rsid w:val="41F45E6E"/>
    <w:rsid w:val="421502BE"/>
    <w:rsid w:val="47574ED5"/>
    <w:rsid w:val="47EA5D49"/>
    <w:rsid w:val="49A40179"/>
    <w:rsid w:val="4AB54E43"/>
    <w:rsid w:val="4B0C4228"/>
    <w:rsid w:val="4D0E4287"/>
    <w:rsid w:val="4DB82445"/>
    <w:rsid w:val="4ED60DD5"/>
    <w:rsid w:val="50373AF5"/>
    <w:rsid w:val="53370240"/>
    <w:rsid w:val="576D10DE"/>
    <w:rsid w:val="5AF903EB"/>
    <w:rsid w:val="5CC76201"/>
    <w:rsid w:val="5CFA0384"/>
    <w:rsid w:val="626C5880"/>
    <w:rsid w:val="6502071E"/>
    <w:rsid w:val="65CE0600"/>
    <w:rsid w:val="6945507D"/>
    <w:rsid w:val="7B62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366</Characters>
  <Lines>2</Lines>
  <Paragraphs>1</Paragraphs>
  <TotalTime>0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张健</dc:creator>
  <cp:lastModifiedBy>张健</cp:lastModifiedBy>
  <cp:lastPrinted>2022-04-14T11:32:00Z</cp:lastPrinted>
  <dcterms:modified xsi:type="dcterms:W3CDTF">2024-07-01T03:06:57Z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C8648F4F5FAB4486A31F67BDBEB12F87_12</vt:lpwstr>
  </property>
</Properties>
</file>